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2006 22 vom 9. Juni 2006</w:t>
      </w:r>
    </w:p>
    <w:p>
      <w:r>
        <w:t>GR Gerichte, 2006-06-09, DE</w:t>
      </w:r>
    </w:p>
    <w:p>
      <w:r>
        <w:rPr>
          <w:b/>
        </w:rPr>
        <w:t xml:space="preserve">Quelle: </w:t>
      </w:r>
      <w:r>
        <w:t>https://mcp.opencaselaw.ch/entscheid/gr_gerichte_A 2006 22</w:t>
      </w:r>
    </w:p>
    <w:p>
      <w:r>
        <w:t>FR: GR_GERICHTE A 2006 22 du 9 juin 2006</w:t>
      </w:r>
    </w:p>
    <w:p>
      <w:r>
        <w:t>IT: GR_GERICHTE A 2006 22 del 9 giugno 2006</w:t>
      </w:r>
    </w:p>
    <w:p>
      <w:pPr>
        <w:pStyle w:val="Heading2"/>
      </w:pPr>
      <w:r>
        <w:t>Regeste</w:t>
      </w:r>
    </w:p>
    <w:p>
      <w:r>
        <w:t>Verkehrssteuern | Steuern übriges</w:t>
      </w:r>
    </w:p>
    <w:p>
      <w:pPr>
        <w:pStyle w:val="Heading2"/>
      </w:pPr>
      <w:r>
        <w:t>Erwägungen</w:t>
      </w:r>
    </w:p>
    <w:p>
      <w:r>
        <w:rPr>
          <w:b/>
        </w:rPr>
        <w:t>E. 3</w:t>
      </w:r>
    </w:p>
    <w:p>
      <w:r>
        <w:t>Bei diesem Ausgang gehen die Verfahrenskosten zulasten des Beschwerdeführers. Demnach erkennt das Gericht: 1. Die Beschwerde wird abgewiesen. 2. Die Gerichtskosten, bestehend - aus einer Staatsgebühr von Fr. 3'000.-- - und den Kanzleiauslagen von Fr. 108.-- zusammen Fr. 3'108.-- gehen zulasten von … und sind innert 30 Tagen seit Zustellung dieses Entscheides an die Finanzverwaltung des Kantons Graubünden, Chur, zu bezahlen. Die dagegen an das Bundesgericht erhobene staatsrechtliche Beschwerde wurde am 24. August 2006 abgewiesen, soweit darauf eingetreten wurde (2P.201/2006).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